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6AFF" w14:textId="77777777" w:rsidR="001D3C7A" w:rsidRDefault="001D3C7A" w:rsidP="001D3C7A"/>
    <w:p w14:paraId="62759F5D" w14:textId="6F511BA3" w:rsidR="001D3C7A" w:rsidRPr="00CF21FE" w:rsidRDefault="005576A2" w:rsidP="001D3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Should </w:t>
      </w:r>
      <w:r w:rsidR="002C7568">
        <w:rPr>
          <w:b/>
          <w:sz w:val="28"/>
          <w:szCs w:val="28"/>
        </w:rPr>
        <w:t>courts decide who is a religious minister? Do they have a choice?</w:t>
      </w:r>
    </w:p>
    <w:p w14:paraId="556F8DBF" w14:textId="77777777" w:rsidR="00CF21FE" w:rsidRDefault="00CF21FE" w:rsidP="001D3C7A">
      <w:pPr>
        <w:rPr>
          <w:b/>
        </w:rPr>
      </w:pPr>
    </w:p>
    <w:p w14:paraId="339DC5DC" w14:textId="77777777" w:rsidR="00CF21FE" w:rsidRDefault="00CF21FE" w:rsidP="001D3C7A">
      <w:r>
        <w:t>By Benjamin Marcus</w:t>
      </w:r>
    </w:p>
    <w:p w14:paraId="46BC4ADC" w14:textId="77777777" w:rsidR="00CF21FE" w:rsidRDefault="00CF21FE" w:rsidP="001D3C7A"/>
    <w:p w14:paraId="2A5B8A8F" w14:textId="0F0CC236" w:rsidR="008D4D5F" w:rsidRDefault="008D4D5F" w:rsidP="001D3C7A">
      <w:r>
        <w:t>The government should not be in the business of telling religious com</w:t>
      </w:r>
      <w:r w:rsidR="00186FAD">
        <w:t>munities who to hire or fire as religious leaders</w:t>
      </w:r>
      <w:r>
        <w:t xml:space="preserve">. </w:t>
      </w:r>
    </w:p>
    <w:p w14:paraId="585D8DE7" w14:textId="77777777" w:rsidR="008D4D5F" w:rsidRDefault="008D4D5F" w:rsidP="001D3C7A"/>
    <w:p w14:paraId="09D5D9B2" w14:textId="5A3CBAFE" w:rsidR="008D4D5F" w:rsidRDefault="008D4D5F" w:rsidP="001D3C7A">
      <w:r>
        <w:t xml:space="preserve">That seems straightforward, right? Imagine if </w:t>
      </w:r>
      <w:r w:rsidR="00807410">
        <w:t>a court</w:t>
      </w:r>
      <w:r>
        <w:t xml:space="preserve"> order</w:t>
      </w:r>
      <w:r w:rsidR="00752AF7">
        <w:t>ed a Catholic church to hire an Episcopal</w:t>
      </w:r>
      <w:r>
        <w:t xml:space="preserve"> priest. </w:t>
      </w:r>
      <w:r w:rsidR="00807410">
        <w:t xml:space="preserve">That is a </w:t>
      </w:r>
      <w:r w:rsidR="0059458F">
        <w:t xml:space="preserve">clear </w:t>
      </w:r>
      <w:r w:rsidR="00807410">
        <w:t>violation</w:t>
      </w:r>
      <w:r>
        <w:t xml:space="preserve"> of the Establishment Clause</w:t>
      </w:r>
      <w:r w:rsidR="00752AF7">
        <w:t>. Americans should affirm the rights of religious communities to choose their priests,</w:t>
      </w:r>
      <w:r w:rsidR="00C97966">
        <w:t xml:space="preserve"> pastors, rabbis or imams</w:t>
      </w:r>
      <w:r w:rsidR="00DA187D">
        <w:t xml:space="preserve"> </w:t>
      </w:r>
      <w:r w:rsidR="00752AF7">
        <w:t>—</w:t>
      </w:r>
      <w:r w:rsidR="00DA187D">
        <w:t xml:space="preserve"> </w:t>
      </w:r>
      <w:r w:rsidR="00752AF7">
        <w:t>even if discriminating on the basis of religious belief is forbidden in other types of employment.</w:t>
      </w:r>
    </w:p>
    <w:p w14:paraId="60F98144" w14:textId="77777777" w:rsidR="00752AF7" w:rsidRDefault="00752AF7" w:rsidP="001D3C7A"/>
    <w:p w14:paraId="0C4E1D32" w14:textId="66DE8819" w:rsidR="00186FAD" w:rsidRDefault="00752AF7" w:rsidP="001D3C7A">
      <w:r>
        <w:t xml:space="preserve">In 2012, the U.S. Supreme Court affirmed unanimously in </w:t>
      </w:r>
      <w:hyperlink r:id="rId8" w:history="1">
        <w:r w:rsidRPr="00CF160A">
          <w:rPr>
            <w:rStyle w:val="Hyperlink"/>
          </w:rPr>
          <w:t>Hosanna-Tabor Evangelical Lutheran Church and School v. EEOC</w:t>
        </w:r>
      </w:hyperlink>
      <w:r>
        <w:t xml:space="preserve"> that religious employers have a “ministerial exception” </w:t>
      </w:r>
      <w:r w:rsidR="00186FAD">
        <w:t>to non-discrimination laws, which</w:t>
      </w:r>
      <w:r>
        <w:t xml:space="preserve"> allows them to hire or fire ministers for any reason. In a new case before the U.S. Supreme Court, the nine justices now have to decide who qualifies as a “minister.” </w:t>
      </w:r>
      <w:r w:rsidR="00E3527A">
        <w:t>But i</w:t>
      </w:r>
      <w:r w:rsidR="00186FAD">
        <w:t xml:space="preserve">s the </w:t>
      </w:r>
      <w:r w:rsidR="004E2D22">
        <w:t>c</w:t>
      </w:r>
      <w:r w:rsidR="00186FAD">
        <w:t xml:space="preserve">ourt competent to </w:t>
      </w:r>
      <w:r w:rsidR="004F3DE1">
        <w:t>make that decision</w:t>
      </w:r>
      <w:r w:rsidR="00186FAD">
        <w:t xml:space="preserve">? </w:t>
      </w:r>
    </w:p>
    <w:p w14:paraId="68F7B1D1" w14:textId="77777777" w:rsidR="00186FAD" w:rsidRDefault="00186FAD" w:rsidP="001D3C7A"/>
    <w:p w14:paraId="03CFD4F7" w14:textId="02182185" w:rsidR="00186FAD" w:rsidRDefault="00186FAD" w:rsidP="001D3C7A">
      <w:r>
        <w:t xml:space="preserve">This month, the </w:t>
      </w:r>
      <w:r w:rsidR="00932CEC">
        <w:t>c</w:t>
      </w:r>
      <w:r>
        <w:t xml:space="preserve">ourt heard </w:t>
      </w:r>
      <w:hyperlink r:id="rId9" w:history="1">
        <w:r w:rsidRPr="00201CB4">
          <w:rPr>
            <w:rStyle w:val="Hyperlink"/>
          </w:rPr>
          <w:t>oral arguments</w:t>
        </w:r>
      </w:hyperlink>
      <w:r>
        <w:t xml:space="preserve"> in </w:t>
      </w:r>
      <w:r w:rsidRPr="00CF160A">
        <w:rPr>
          <w:iCs/>
        </w:rPr>
        <w:t>Our Lady of Guadalupe School v. Morrissey-Berru</w:t>
      </w:r>
      <w:r w:rsidR="00E3527A">
        <w:rPr>
          <w:i/>
        </w:rPr>
        <w:t xml:space="preserve"> </w:t>
      </w:r>
      <w:r w:rsidR="00E3527A">
        <w:t xml:space="preserve">and </w:t>
      </w:r>
      <w:r w:rsidR="00E3527A" w:rsidRPr="00CF160A">
        <w:rPr>
          <w:iCs/>
        </w:rPr>
        <w:t>St. James School v. Biel</w:t>
      </w:r>
      <w:r w:rsidRPr="00CF160A">
        <w:rPr>
          <w:iCs/>
        </w:rPr>
        <w:t>.</w:t>
      </w:r>
      <w:r>
        <w:t xml:space="preserve"> In th</w:t>
      </w:r>
      <w:r w:rsidR="00E3527A">
        <w:t>ose</w:t>
      </w:r>
      <w:r>
        <w:t xml:space="preserve"> case</w:t>
      </w:r>
      <w:r w:rsidR="00E3527A">
        <w:t>s</w:t>
      </w:r>
      <w:r>
        <w:t xml:space="preserve">, the justices were asked whether the ministerial exception applied to fifth-grade teachers in Catholic elementary schools who taught classes about religion. Morrissey-Berru alleges that she was fired because of her age. </w:t>
      </w:r>
      <w:r w:rsidR="0082036B">
        <w:t xml:space="preserve">Biel’s </w:t>
      </w:r>
      <w:r w:rsidR="00E3527A">
        <w:t xml:space="preserve">school </w:t>
      </w:r>
      <w:r w:rsidR="0082036B">
        <w:t>did</w:t>
      </w:r>
      <w:r w:rsidR="00E3527A">
        <w:t xml:space="preserve"> not renew her contract after Biel was diagnosed with breast cancer</w:t>
      </w:r>
      <w:r w:rsidR="006533E6">
        <w:t xml:space="preserve"> and she requested time off</w:t>
      </w:r>
      <w:r w:rsidR="00E3527A">
        <w:t>. The schools assert the government cannot i</w:t>
      </w:r>
      <w:r w:rsidR="0082036B">
        <w:t>nterfere with their termination decisions</w:t>
      </w:r>
      <w:r w:rsidR="00E3527A">
        <w:t xml:space="preserve"> because Biel and Morrissey-Berru qualify as ministers. </w:t>
      </w:r>
      <w:r w:rsidR="0082036B">
        <w:t>But are they?</w:t>
      </w:r>
      <w:r w:rsidR="00E3527A">
        <w:t xml:space="preserve"> </w:t>
      </w:r>
    </w:p>
    <w:p w14:paraId="77DA2818" w14:textId="77777777" w:rsidR="00186FAD" w:rsidRDefault="00186FAD" w:rsidP="001D3C7A"/>
    <w:p w14:paraId="439064A5" w14:textId="0E8DFF7F" w:rsidR="00752AF7" w:rsidRDefault="007953FC" w:rsidP="001D3C7A">
      <w:r>
        <w:t>Given</w:t>
      </w:r>
      <w:r w:rsidR="004F3DE1">
        <w:t xml:space="preserve"> the </w:t>
      </w:r>
      <w:r w:rsidR="00192F8A">
        <w:t>c</w:t>
      </w:r>
      <w:r>
        <w:t xml:space="preserve">ourt’s determination in </w:t>
      </w:r>
      <w:r w:rsidRPr="00CF160A">
        <w:rPr>
          <w:iCs/>
        </w:rPr>
        <w:t>Hosanna-Tabor</w:t>
      </w:r>
      <w:r>
        <w:t xml:space="preserve"> </w:t>
      </w:r>
      <w:r w:rsidR="004F3DE1">
        <w:t xml:space="preserve">that the ministerial exception protects religious employers from lawsuits brought by minister-employees terminated for reasons of age, disability, race, sexual orientation or any other factor, </w:t>
      </w:r>
      <w:r w:rsidR="00201CB4">
        <w:t>the government</w:t>
      </w:r>
      <w:r>
        <w:t xml:space="preserve"> is faced with a </w:t>
      </w:r>
      <w:r w:rsidR="001116BD">
        <w:t>challenge</w:t>
      </w:r>
      <w:r>
        <w:t xml:space="preserve">: </w:t>
      </w:r>
      <w:r w:rsidR="001116BD">
        <w:t>defining</w:t>
      </w:r>
      <w:r>
        <w:t xml:space="preserve"> </w:t>
      </w:r>
      <w:r w:rsidR="00920C8D">
        <w:t>“</w:t>
      </w:r>
      <w:r>
        <w:t>minister</w:t>
      </w:r>
      <w:r w:rsidR="00920C8D">
        <w:t>”</w:t>
      </w:r>
      <w:r w:rsidR="00E53D3C">
        <w:t xml:space="preserve"> broadly enough to safeguard religious</w:t>
      </w:r>
      <w:r w:rsidR="001116BD">
        <w:t xml:space="preserve"> freedom but narrowly enough to protect the integrity of</w:t>
      </w:r>
      <w:r>
        <w:t xml:space="preserve"> antidiscrimination laws such as</w:t>
      </w:r>
      <w:r w:rsidR="00201CB4">
        <w:t xml:space="preserve"> the Americans with Disabilities Act, the Civil Rights Act</w:t>
      </w:r>
      <w:r>
        <w:t xml:space="preserve"> of 1964</w:t>
      </w:r>
      <w:r w:rsidR="00201CB4">
        <w:t xml:space="preserve">, the Fair Labor Standards Act </w:t>
      </w:r>
      <w:r w:rsidR="001A55D4">
        <w:t xml:space="preserve">and </w:t>
      </w:r>
      <w:r w:rsidR="001116BD">
        <w:t>the Equal Pay Act.</w:t>
      </w:r>
    </w:p>
    <w:p w14:paraId="1571E802" w14:textId="77777777" w:rsidR="00752AF7" w:rsidRDefault="00752AF7" w:rsidP="001D3C7A"/>
    <w:p w14:paraId="30C6E614" w14:textId="61CEA757" w:rsidR="00201CB4" w:rsidRDefault="0082036B" w:rsidP="001D3C7A">
      <w:r>
        <w:t>Should the definition of “minister” be determined by the title of the employ</w:t>
      </w:r>
      <w:r w:rsidR="0059458F">
        <w:t xml:space="preserve">ee? Justices </w:t>
      </w:r>
      <w:r w:rsidR="00401CEF">
        <w:t xml:space="preserve">Samuel </w:t>
      </w:r>
      <w:r w:rsidR="0059458F">
        <w:t xml:space="preserve">Alito and </w:t>
      </w:r>
      <w:r w:rsidR="00401CEF">
        <w:t xml:space="preserve">Neil </w:t>
      </w:r>
      <w:r w:rsidR="0059458F">
        <w:t xml:space="preserve">Gorsuch </w:t>
      </w:r>
      <w:r>
        <w:t xml:space="preserve">pointed out that some “minority religions” do not use the </w:t>
      </w:r>
      <w:r w:rsidR="006533E6">
        <w:t xml:space="preserve">“Christian/Protestant” </w:t>
      </w:r>
      <w:r>
        <w:t>term</w:t>
      </w:r>
      <w:r w:rsidR="006533E6">
        <w:t>.</w:t>
      </w:r>
      <w:r>
        <w:t xml:space="preserve"> Religious liberty advocat</w:t>
      </w:r>
      <w:r w:rsidR="0059458F">
        <w:t xml:space="preserve">es Asma Uddin and Howard Slugh </w:t>
      </w:r>
      <w:r>
        <w:t xml:space="preserve">made a similar point in their </w:t>
      </w:r>
      <w:hyperlink r:id="rId10" w:history="1">
        <w:r w:rsidRPr="00E12B1B">
          <w:rPr>
            <w:rStyle w:val="Hyperlink"/>
          </w:rPr>
          <w:t>recent article</w:t>
        </w:r>
      </w:hyperlink>
      <w:r>
        <w:t xml:space="preserve"> in </w:t>
      </w:r>
      <w:r w:rsidRPr="00CF160A">
        <w:rPr>
          <w:i/>
          <w:iCs/>
        </w:rPr>
        <w:t>Newsweek</w:t>
      </w:r>
      <w:r w:rsidR="006533E6">
        <w:t>.</w:t>
      </w:r>
      <w:r>
        <w:t xml:space="preserve"> </w:t>
      </w:r>
    </w:p>
    <w:p w14:paraId="3767DA21" w14:textId="77777777" w:rsidR="00E12B1B" w:rsidRDefault="00E12B1B" w:rsidP="001D3C7A"/>
    <w:p w14:paraId="2627EDCB" w14:textId="2D25361E" w:rsidR="00E12B1B" w:rsidRDefault="00E12B1B" w:rsidP="001D3C7A">
      <w:r>
        <w:t xml:space="preserve">Should the definition of “minister” be determined by the function of the employee? For example, the </w:t>
      </w:r>
      <w:r w:rsidR="0092259F">
        <w:t xml:space="preserve">U.S. government </w:t>
      </w:r>
      <w:r>
        <w:t xml:space="preserve">representative </w:t>
      </w:r>
      <w:r w:rsidR="0059458F">
        <w:t xml:space="preserve">arguing in support of Our Lady said </w:t>
      </w:r>
      <w:r>
        <w:t xml:space="preserve">that certain functions like “preaching, teaching, worship, leadership and rituals” signal that an employee functions as a minister, whatever their title. But the justices questioned this </w:t>
      </w:r>
      <w:r>
        <w:lastRenderedPageBreak/>
        <w:t xml:space="preserve">approach too. Justices </w:t>
      </w:r>
      <w:r w:rsidR="003F70FA">
        <w:t xml:space="preserve">Ruth Bader </w:t>
      </w:r>
      <w:r>
        <w:t xml:space="preserve">Ginsburg, Gorsuch and </w:t>
      </w:r>
      <w:r w:rsidR="003F70FA">
        <w:t xml:space="preserve">Brett </w:t>
      </w:r>
      <w:r>
        <w:t>Kavanaugh all invoked</w:t>
      </w:r>
      <w:r w:rsidR="008A086C">
        <w:t xml:space="preserve"> a hypothetical coach who pray</w:t>
      </w:r>
      <w:r>
        <w:t>s with students before a game. Does that person count as a minister</w:t>
      </w:r>
      <w:r w:rsidR="00744B8D">
        <w:t xml:space="preserve"> just because they engage in religious activity</w:t>
      </w:r>
      <w:r>
        <w:t>?</w:t>
      </w:r>
    </w:p>
    <w:p w14:paraId="3FB57CA8" w14:textId="77777777" w:rsidR="00BA75B0" w:rsidRDefault="00BA75B0" w:rsidP="001D3C7A"/>
    <w:p w14:paraId="307C0ED3" w14:textId="285806B4" w:rsidR="00BA75B0" w:rsidRPr="00BA75B0" w:rsidRDefault="00BA75B0" w:rsidP="001D3C7A">
      <w:r>
        <w:t>To determine whether an employee’s function qualified for the ministerial exception, some of the justices asked the lawyers about the rules they should use to determine if a job is “primarily religious in any way” or if their religious function is just a “de minimis” factor that is not a “</w:t>
      </w:r>
      <w:r w:rsidR="00315B97">
        <w:t xml:space="preserve">meaningful” part of their job. </w:t>
      </w:r>
    </w:p>
    <w:p w14:paraId="505AE7A8" w14:textId="77777777" w:rsidR="008D4D5F" w:rsidRDefault="008D4D5F" w:rsidP="001D3C7A"/>
    <w:p w14:paraId="5D135ED1" w14:textId="5EDD664E" w:rsidR="0082036B" w:rsidRDefault="00BA75B0" w:rsidP="0082036B">
      <w:r>
        <w:t>Here t</w:t>
      </w:r>
      <w:r w:rsidR="0082036B">
        <w:t xml:space="preserve">he oral arguments illuminate </w:t>
      </w:r>
      <w:r w:rsidR="0059458F">
        <w:t>one way</w:t>
      </w:r>
      <w:r w:rsidR="0082036B">
        <w:t xml:space="preserve"> the government’s commitment to religious freedom</w:t>
      </w:r>
      <w:r w:rsidR="007E42CE">
        <w:t xml:space="preserve"> </w:t>
      </w:r>
      <w:r w:rsidR="0082036B">
        <w:t>—</w:t>
      </w:r>
      <w:r w:rsidR="007E42CE">
        <w:t xml:space="preserve"> </w:t>
      </w:r>
      <w:r w:rsidR="0082036B">
        <w:t>and justices’ interest in avoiding the excessive entanglement of religion and govern</w:t>
      </w:r>
      <w:r w:rsidR="008A146B">
        <w:t>ment</w:t>
      </w:r>
      <w:r w:rsidR="007E42CE">
        <w:t xml:space="preserve"> </w:t>
      </w:r>
      <w:r w:rsidR="008A146B">
        <w:t>—</w:t>
      </w:r>
      <w:r w:rsidR="007E42CE">
        <w:t xml:space="preserve"> </w:t>
      </w:r>
      <w:r w:rsidR="008A146B">
        <w:t>paradoxically result</w:t>
      </w:r>
      <w:r w:rsidR="0082036B">
        <w:t xml:space="preserve"> in government officials carefully defining what counts as religious.</w:t>
      </w:r>
      <w:r>
        <w:t xml:space="preserve"> By pursuing lines of questioning that seek to determine whether a job is primarily or meaningfully religious, the justices get in the business of judging the relative importance of religious practices to religious identity. </w:t>
      </w:r>
    </w:p>
    <w:p w14:paraId="7527ED66" w14:textId="77777777" w:rsidR="00BA75B0" w:rsidRDefault="00BA75B0" w:rsidP="0082036B"/>
    <w:p w14:paraId="17CB585F" w14:textId="0799E103" w:rsidR="00BA75B0" w:rsidRDefault="00BA75B0" w:rsidP="0082036B">
      <w:r>
        <w:t xml:space="preserve">Justice Gorsuch suggested an alternative. The Religious Freedom Restoration Act </w:t>
      </w:r>
      <w:r w:rsidR="004D605A">
        <w:t>recognizes</w:t>
      </w:r>
      <w:r>
        <w:t xml:space="preserve"> “any sincerely held religious</w:t>
      </w:r>
      <w:r w:rsidR="004D605A">
        <w:t xml:space="preserve"> belief</w:t>
      </w:r>
      <w:r>
        <w:t>”</w:t>
      </w:r>
      <w:r w:rsidR="004D605A">
        <w:t xml:space="preserve"> when considering free exercise claims</w:t>
      </w:r>
      <w:r>
        <w:t xml:space="preserve"> and judges do not make determinations about</w:t>
      </w:r>
      <w:r w:rsidR="004D1FDA">
        <w:t xml:space="preserve"> the relative importance or centrality of a belief or practice. This line of thin</w:t>
      </w:r>
      <w:r w:rsidR="00FF6346">
        <w:t xml:space="preserve">king is relatively sound from an academic </w:t>
      </w:r>
      <w:r w:rsidR="004D1FDA">
        <w:t xml:space="preserve">perspective. Among religious studies scholars, it is common to accept the self-designation of a person or community as religious or not. </w:t>
      </w:r>
    </w:p>
    <w:p w14:paraId="6FDF3AA0" w14:textId="77777777" w:rsidR="004D1FDA" w:rsidRDefault="004D1FDA" w:rsidP="0082036B"/>
    <w:p w14:paraId="4E87E094" w14:textId="69460DC0" w:rsidR="008A086C" w:rsidRDefault="008A086C" w:rsidP="0082036B">
      <w:r>
        <w:t xml:space="preserve">To wit: when I was </w:t>
      </w:r>
      <w:r w:rsidR="004D605A">
        <w:t>in divinity school</w:t>
      </w:r>
      <w:r>
        <w:t xml:space="preserve">, I successfully applied for a grant </w:t>
      </w:r>
      <w:r w:rsidR="007953FC">
        <w:t xml:space="preserve">from my school </w:t>
      </w:r>
      <w:r>
        <w:t xml:space="preserve">for which I argued that interning at </w:t>
      </w:r>
      <w:r w:rsidR="004D605A">
        <w:t>the U.S. State Department was part of my “</w:t>
      </w:r>
      <w:r>
        <w:t xml:space="preserve">call to ministry.” </w:t>
      </w:r>
    </w:p>
    <w:p w14:paraId="4DBF74A4" w14:textId="77777777" w:rsidR="008A086C" w:rsidRDefault="008A086C" w:rsidP="0082036B"/>
    <w:p w14:paraId="61D8EF8E" w14:textId="4CDD7FF8" w:rsidR="004D1FDA" w:rsidRDefault="004D1FDA" w:rsidP="0082036B">
      <w:r>
        <w:t xml:space="preserve">But if </w:t>
      </w:r>
      <w:r w:rsidR="008A146B">
        <w:t>judges</w:t>
      </w:r>
      <w:r w:rsidR="00FF6346">
        <w:t xml:space="preserve"> accept employers’ decisions about who counts as a minister, can the government robustly enforce non-discrimination laws? What would stop an employer from saying that everyone functions as a mi</w:t>
      </w:r>
      <w:r w:rsidR="008A086C">
        <w:t xml:space="preserve">nister, Justice </w:t>
      </w:r>
      <w:r w:rsidR="008C6D91">
        <w:t xml:space="preserve">Sonia </w:t>
      </w:r>
      <w:r w:rsidR="008A086C">
        <w:t>Sotomayor asked.</w:t>
      </w:r>
      <w:r w:rsidR="00FF6346">
        <w:t xml:space="preserve"> In fact, amicus briefs from major Jewish and Christian groups argue that every teacher performs an important religious function. </w:t>
      </w:r>
    </w:p>
    <w:p w14:paraId="7AAE8A10" w14:textId="77777777" w:rsidR="004D1FDA" w:rsidRDefault="004D1FDA" w:rsidP="0082036B"/>
    <w:p w14:paraId="5D2059EC" w14:textId="7E453A8F" w:rsidR="004D1FDA" w:rsidRDefault="004D1FDA" w:rsidP="004D1FDA">
      <w:r>
        <w:t xml:space="preserve">In </w:t>
      </w:r>
      <w:r w:rsidR="00270108">
        <w:t>a</w:t>
      </w:r>
      <w:r>
        <w:t xml:space="preserve"> sur</w:t>
      </w:r>
      <w:r w:rsidR="00270108">
        <w:t>prising moment</w:t>
      </w:r>
      <w:r w:rsidR="00E7784D">
        <w:t xml:space="preserve">, Justice </w:t>
      </w:r>
      <w:r w:rsidR="005E22ED">
        <w:t xml:space="preserve">Elena </w:t>
      </w:r>
      <w:r w:rsidR="00E7784D">
        <w:t>Kagan</w:t>
      </w:r>
      <w:r>
        <w:t xml:space="preserve"> asked whether </w:t>
      </w:r>
      <w:r w:rsidR="000D2A51">
        <w:t xml:space="preserve">even </w:t>
      </w:r>
      <w:r>
        <w:t>a nurse at a Catholic hospital “who prays with sick patients and is told otherwise to tend to their religiou</w:t>
      </w:r>
      <w:r w:rsidR="00270108">
        <w:t>s needs” counts as a minister. Maybe yes</w:t>
      </w:r>
      <w:r>
        <w:t xml:space="preserve">, said the lawyer representing </w:t>
      </w:r>
      <w:r w:rsidRPr="00BA75B0">
        <w:t>Our Lady</w:t>
      </w:r>
      <w:r>
        <w:t>.</w:t>
      </w:r>
    </w:p>
    <w:p w14:paraId="78F1CDF5" w14:textId="77777777" w:rsidR="00FF6346" w:rsidRDefault="00FF6346" w:rsidP="004D1FDA"/>
    <w:p w14:paraId="361DFB26" w14:textId="48466409" w:rsidR="006E2730" w:rsidRDefault="00FF6346" w:rsidP="004D1FDA">
      <w:r>
        <w:t>As a religious studies scholar, I do not disagree with the assertion that all teachers in a school might perform an important religious function, nor do I deny that nursing can function as a form of ministry. Religion is embedded in every aspec</w:t>
      </w:r>
      <w:r w:rsidR="000D2A51">
        <w:t xml:space="preserve">t of the human experience. All </w:t>
      </w:r>
      <w:r>
        <w:t>act</w:t>
      </w:r>
      <w:r w:rsidR="000D2A51">
        <w:t>ion</w:t>
      </w:r>
      <w:r>
        <w:t>s, no matter how mundane they may seem, can have sacred significance.</w:t>
      </w:r>
      <w:r w:rsidR="006E2730">
        <w:t xml:space="preserve"> Job titles</w:t>
      </w:r>
      <w:r w:rsidR="007E42CE">
        <w:t xml:space="preserve"> </w:t>
      </w:r>
      <w:r w:rsidR="006E2730">
        <w:t>—</w:t>
      </w:r>
      <w:r w:rsidR="007E42CE">
        <w:t xml:space="preserve"> </w:t>
      </w:r>
      <w:r w:rsidR="006E2730">
        <w:t>and even job functions</w:t>
      </w:r>
      <w:r w:rsidR="007E42CE">
        <w:t xml:space="preserve"> </w:t>
      </w:r>
      <w:r w:rsidR="006E2730">
        <w:t>—</w:t>
      </w:r>
      <w:r w:rsidR="007E42CE">
        <w:t xml:space="preserve"> </w:t>
      </w:r>
      <w:r w:rsidR="006A7264">
        <w:t xml:space="preserve">do not </w:t>
      </w:r>
      <w:r w:rsidR="006E2730">
        <w:t>determine whether an act is religious or</w:t>
      </w:r>
      <w:r w:rsidR="008A086C">
        <w:t xml:space="preserve"> whether</w:t>
      </w:r>
      <w:r w:rsidR="006E2730">
        <w:t xml:space="preserve"> </w:t>
      </w:r>
      <w:r w:rsidR="008A086C">
        <w:t xml:space="preserve">a job </w:t>
      </w:r>
      <w:r w:rsidR="000D2A51">
        <w:t>is ministerial</w:t>
      </w:r>
      <w:r w:rsidR="006E2730">
        <w:t>.</w:t>
      </w:r>
      <w:r w:rsidR="00E53D3C">
        <w:t xml:space="preserve"> </w:t>
      </w:r>
    </w:p>
    <w:p w14:paraId="4F697061" w14:textId="77777777" w:rsidR="00FF6346" w:rsidRDefault="00FF6346" w:rsidP="004D1FDA"/>
    <w:p w14:paraId="7D548FDD" w14:textId="551FDBFA" w:rsidR="00315B97" w:rsidRDefault="00E53D3C" w:rsidP="004D1FDA">
      <w:r>
        <w:t xml:space="preserve">But, as noted above, </w:t>
      </w:r>
      <w:r w:rsidR="006E2730">
        <w:t xml:space="preserve">the government has a compelling interest </w:t>
      </w:r>
      <w:r w:rsidR="00315B97">
        <w:t>to uphold</w:t>
      </w:r>
      <w:r w:rsidR="006E2730">
        <w:t xml:space="preserve"> non-discrimination laws. Allowing religious employers to determine </w:t>
      </w:r>
      <w:r>
        <w:t xml:space="preserve">unilaterally </w:t>
      </w:r>
      <w:r w:rsidR="006E2730">
        <w:t xml:space="preserve">who counts </w:t>
      </w:r>
      <w:r w:rsidR="006E2730">
        <w:lastRenderedPageBreak/>
        <w:t xml:space="preserve">as a minister could remove non-discrimination protections from hundreds of thousands of teachers, nurses and others who are employed by religious institutions. </w:t>
      </w:r>
      <w:r w:rsidR="009649F7">
        <w:t xml:space="preserve">Should the </w:t>
      </w:r>
      <w:r w:rsidR="00C141CC">
        <w:t>c</w:t>
      </w:r>
      <w:r w:rsidR="009649F7">
        <w:t>ourt allow religious communities to self-designate ministers</w:t>
      </w:r>
      <w:r w:rsidR="007E42CE">
        <w:t xml:space="preserve"> </w:t>
      </w:r>
      <w:r w:rsidR="00236A47">
        <w:t>—</w:t>
      </w:r>
      <w:r w:rsidR="007E42CE">
        <w:t xml:space="preserve"> </w:t>
      </w:r>
      <w:r w:rsidR="00236A47">
        <w:t>a sound choice from the perspective of some religious studies scholars</w:t>
      </w:r>
      <w:r w:rsidR="007E42CE">
        <w:t xml:space="preserve"> </w:t>
      </w:r>
      <w:r w:rsidR="00236A47">
        <w:t>—</w:t>
      </w:r>
      <w:r w:rsidR="007E42CE">
        <w:t xml:space="preserve"> </w:t>
      </w:r>
      <w:r w:rsidR="009649F7">
        <w:t xml:space="preserve">if doing so would eviscerate non-discrimination protections? </w:t>
      </w:r>
    </w:p>
    <w:p w14:paraId="3C766BD8" w14:textId="77777777" w:rsidR="00807410" w:rsidRDefault="00807410" w:rsidP="000D2E9D"/>
    <w:p w14:paraId="2AD72DF9" w14:textId="4246DA7D" w:rsidR="000D2E9D" w:rsidRPr="00757477" w:rsidRDefault="00807410" w:rsidP="000D2E9D">
      <w:r>
        <w:t xml:space="preserve">It might be </w:t>
      </w:r>
      <w:r w:rsidR="00E7784D">
        <w:t>more intellectually honest for c</w:t>
      </w:r>
      <w:r>
        <w:t>ourts to recognize that some employees who perform ministerial roles, no matter how meaningful or central they</w:t>
      </w:r>
      <w:r w:rsidR="00236A47">
        <w:t xml:space="preserve"> are</w:t>
      </w:r>
      <w:r>
        <w:t xml:space="preserve"> to an individual or community’s religious identity, do not qualify for the ministerial exception because non-discrimination laws take precedent. </w:t>
      </w:r>
      <w:r w:rsidR="00E53D3C">
        <w:t xml:space="preserve">The challenge, of course, will be in identifying the standard used to make that determination. </w:t>
      </w:r>
      <w:r w:rsidR="000D7D1E">
        <w:t xml:space="preserve">We will see what the </w:t>
      </w:r>
      <w:r w:rsidR="007E42CE">
        <w:t>c</w:t>
      </w:r>
      <w:r w:rsidR="000D7D1E">
        <w:t>ourt decides later this year.</w:t>
      </w:r>
    </w:p>
    <w:sectPr w:rsidR="000D2E9D" w:rsidRPr="00757477" w:rsidSect="00FA2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ADD9" w14:textId="77777777" w:rsidR="007926D4" w:rsidRDefault="007926D4" w:rsidP="00CF21FE">
      <w:r>
        <w:separator/>
      </w:r>
    </w:p>
  </w:endnote>
  <w:endnote w:type="continuationSeparator" w:id="0">
    <w:p w14:paraId="327C53FD" w14:textId="77777777" w:rsidR="007926D4" w:rsidRDefault="007926D4" w:rsidP="00CF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FED3" w14:textId="77777777" w:rsidR="007926D4" w:rsidRDefault="007926D4" w:rsidP="00CF21FE">
      <w:r>
        <w:separator/>
      </w:r>
    </w:p>
  </w:footnote>
  <w:footnote w:type="continuationSeparator" w:id="0">
    <w:p w14:paraId="03AAF497" w14:textId="77777777" w:rsidR="007926D4" w:rsidRDefault="007926D4" w:rsidP="00CF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54EE8"/>
    <w:multiLevelType w:val="hybridMultilevel"/>
    <w:tmpl w:val="AFC0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7A"/>
    <w:rsid w:val="000327D3"/>
    <w:rsid w:val="00040E79"/>
    <w:rsid w:val="000429B1"/>
    <w:rsid w:val="000D2A51"/>
    <w:rsid w:val="000D2E9D"/>
    <w:rsid w:val="000D7D1E"/>
    <w:rsid w:val="001116BD"/>
    <w:rsid w:val="00185F30"/>
    <w:rsid w:val="00186FAD"/>
    <w:rsid w:val="00192F8A"/>
    <w:rsid w:val="001A55D4"/>
    <w:rsid w:val="001D3C7A"/>
    <w:rsid w:val="00201CB4"/>
    <w:rsid w:val="002122DC"/>
    <w:rsid w:val="00221AD1"/>
    <w:rsid w:val="00236A47"/>
    <w:rsid w:val="002634BC"/>
    <w:rsid w:val="00270108"/>
    <w:rsid w:val="00271B94"/>
    <w:rsid w:val="00273A85"/>
    <w:rsid w:val="00283B5B"/>
    <w:rsid w:val="00286BAE"/>
    <w:rsid w:val="00292F32"/>
    <w:rsid w:val="002C0922"/>
    <w:rsid w:val="002C7568"/>
    <w:rsid w:val="002F3920"/>
    <w:rsid w:val="00301E88"/>
    <w:rsid w:val="003021A7"/>
    <w:rsid w:val="00302F7B"/>
    <w:rsid w:val="00315B97"/>
    <w:rsid w:val="003215DD"/>
    <w:rsid w:val="00322A63"/>
    <w:rsid w:val="00346D4E"/>
    <w:rsid w:val="003A7E86"/>
    <w:rsid w:val="003E5BC5"/>
    <w:rsid w:val="003F70FA"/>
    <w:rsid w:val="00401CEF"/>
    <w:rsid w:val="004136BE"/>
    <w:rsid w:val="00440525"/>
    <w:rsid w:val="00453570"/>
    <w:rsid w:val="00487858"/>
    <w:rsid w:val="004D1FDA"/>
    <w:rsid w:val="004D605A"/>
    <w:rsid w:val="004E2D22"/>
    <w:rsid w:val="004F3DE1"/>
    <w:rsid w:val="00543F07"/>
    <w:rsid w:val="00547BAA"/>
    <w:rsid w:val="005576A2"/>
    <w:rsid w:val="00557AB7"/>
    <w:rsid w:val="0059458F"/>
    <w:rsid w:val="005C18F8"/>
    <w:rsid w:val="005D0F0F"/>
    <w:rsid w:val="005E22ED"/>
    <w:rsid w:val="00606770"/>
    <w:rsid w:val="006334E6"/>
    <w:rsid w:val="006533E6"/>
    <w:rsid w:val="0065633B"/>
    <w:rsid w:val="006A7264"/>
    <w:rsid w:val="006C17E2"/>
    <w:rsid w:val="006E2730"/>
    <w:rsid w:val="00727E54"/>
    <w:rsid w:val="00734E38"/>
    <w:rsid w:val="00744B8D"/>
    <w:rsid w:val="007465B8"/>
    <w:rsid w:val="00752AF7"/>
    <w:rsid w:val="00757477"/>
    <w:rsid w:val="007926D4"/>
    <w:rsid w:val="007953FC"/>
    <w:rsid w:val="00795DAF"/>
    <w:rsid w:val="007E42CE"/>
    <w:rsid w:val="00807410"/>
    <w:rsid w:val="008151B6"/>
    <w:rsid w:val="0082036B"/>
    <w:rsid w:val="00822641"/>
    <w:rsid w:val="0088739F"/>
    <w:rsid w:val="008A086C"/>
    <w:rsid w:val="008A146B"/>
    <w:rsid w:val="008A294E"/>
    <w:rsid w:val="008A5685"/>
    <w:rsid w:val="008B1F96"/>
    <w:rsid w:val="008C6D91"/>
    <w:rsid w:val="008D4D5F"/>
    <w:rsid w:val="00920C8D"/>
    <w:rsid w:val="0092259F"/>
    <w:rsid w:val="00932CEC"/>
    <w:rsid w:val="00941687"/>
    <w:rsid w:val="0094574F"/>
    <w:rsid w:val="009649F7"/>
    <w:rsid w:val="009A3D20"/>
    <w:rsid w:val="009C0837"/>
    <w:rsid w:val="009C2EC6"/>
    <w:rsid w:val="009E300C"/>
    <w:rsid w:val="009E485A"/>
    <w:rsid w:val="00A01DC4"/>
    <w:rsid w:val="00A04D55"/>
    <w:rsid w:val="00A06A91"/>
    <w:rsid w:val="00A17461"/>
    <w:rsid w:val="00A3646E"/>
    <w:rsid w:val="00A8364C"/>
    <w:rsid w:val="00AA1528"/>
    <w:rsid w:val="00AC3785"/>
    <w:rsid w:val="00AD4205"/>
    <w:rsid w:val="00AE556B"/>
    <w:rsid w:val="00B0269E"/>
    <w:rsid w:val="00B721D4"/>
    <w:rsid w:val="00B928C9"/>
    <w:rsid w:val="00BA75B0"/>
    <w:rsid w:val="00BD559D"/>
    <w:rsid w:val="00C0104F"/>
    <w:rsid w:val="00C01FFB"/>
    <w:rsid w:val="00C141CC"/>
    <w:rsid w:val="00C97966"/>
    <w:rsid w:val="00CF160A"/>
    <w:rsid w:val="00CF21FE"/>
    <w:rsid w:val="00D11B1D"/>
    <w:rsid w:val="00D5332F"/>
    <w:rsid w:val="00DA187D"/>
    <w:rsid w:val="00DD11A1"/>
    <w:rsid w:val="00DD285A"/>
    <w:rsid w:val="00DF2B59"/>
    <w:rsid w:val="00DF453B"/>
    <w:rsid w:val="00E07476"/>
    <w:rsid w:val="00E12B1B"/>
    <w:rsid w:val="00E277A6"/>
    <w:rsid w:val="00E3527A"/>
    <w:rsid w:val="00E451B6"/>
    <w:rsid w:val="00E53D3C"/>
    <w:rsid w:val="00E7784D"/>
    <w:rsid w:val="00E946EC"/>
    <w:rsid w:val="00EC1D8C"/>
    <w:rsid w:val="00F410B3"/>
    <w:rsid w:val="00F41F91"/>
    <w:rsid w:val="00FA2207"/>
    <w:rsid w:val="00FE5A85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36D9E"/>
  <w14:defaultImageDpi w14:val="300"/>
  <w15:docId w15:val="{F0117F3A-16E0-4A36-A7CF-E81D081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21FE"/>
  </w:style>
  <w:style w:type="character" w:customStyle="1" w:styleId="FootnoteTextChar">
    <w:name w:val="Footnote Text Char"/>
    <w:basedOn w:val="DefaultParagraphFont"/>
    <w:link w:val="FootnoteText"/>
    <w:uiPriority w:val="99"/>
    <w:rsid w:val="00CF21FE"/>
  </w:style>
  <w:style w:type="character" w:styleId="FootnoteReference">
    <w:name w:val="footnote reference"/>
    <w:basedOn w:val="DefaultParagraphFont"/>
    <w:uiPriority w:val="99"/>
    <w:unhideWhenUsed/>
    <w:rsid w:val="00CF21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1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yez.org/cases/2011/10-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wsweek.com/supreme-court-has-new-chance-stand-strong-religious-liberty-opinion-1502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remecourt.gov/oral_arguments/argument_transcripts/2019/19-267_4g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9DC3722-06C9-45AE-A2E3-589780F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Stan Schwartz</cp:lastModifiedBy>
  <cp:revision>3</cp:revision>
  <dcterms:created xsi:type="dcterms:W3CDTF">2020-05-28T14:51:00Z</dcterms:created>
  <dcterms:modified xsi:type="dcterms:W3CDTF">2020-05-28T22:01:00Z</dcterms:modified>
</cp:coreProperties>
</file>